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C22" w:rsidRDefault="00A23C22" w:rsidP="00A23C22">
      <w:pPr>
        <w:spacing w:after="0" w:line="480" w:lineRule="auto"/>
        <w:rPr>
          <w:rFonts w:ascii="Times New Roman" w:hAnsi="Times New Roman" w:cs="Times New Roman"/>
          <w:sz w:val="24"/>
          <w:szCs w:val="24"/>
        </w:rPr>
      </w:pPr>
    </w:p>
    <w:p w:rsidR="00DC4247" w:rsidRDefault="00DC4247" w:rsidP="00A23C22">
      <w:pPr>
        <w:spacing w:after="0" w:line="480" w:lineRule="auto"/>
        <w:rPr>
          <w:rFonts w:ascii="Times New Roman" w:hAnsi="Times New Roman" w:cs="Times New Roman"/>
          <w:sz w:val="24"/>
          <w:szCs w:val="24"/>
        </w:rPr>
      </w:pPr>
      <w:bookmarkStart w:id="0" w:name="_GoBack"/>
      <w:bookmarkEnd w:id="0"/>
    </w:p>
    <w:p w:rsidR="00DC4247" w:rsidRDefault="00DC4247" w:rsidP="00A23C22">
      <w:pPr>
        <w:spacing w:after="0" w:line="480" w:lineRule="auto"/>
        <w:rPr>
          <w:rFonts w:ascii="Times New Roman" w:hAnsi="Times New Roman" w:cs="Times New Roman"/>
          <w:sz w:val="24"/>
          <w:szCs w:val="24"/>
        </w:rPr>
      </w:pPr>
    </w:p>
    <w:p w:rsidR="00DC4247" w:rsidRDefault="00DC4247" w:rsidP="00A23C22">
      <w:pPr>
        <w:spacing w:after="0" w:line="480" w:lineRule="auto"/>
        <w:rPr>
          <w:rFonts w:ascii="Times New Roman" w:hAnsi="Times New Roman" w:cs="Times New Roman"/>
          <w:sz w:val="24"/>
          <w:szCs w:val="24"/>
        </w:rPr>
      </w:pPr>
    </w:p>
    <w:p w:rsidR="00DC4247" w:rsidRDefault="00DC4247" w:rsidP="00A23C22">
      <w:pPr>
        <w:spacing w:after="0" w:line="480" w:lineRule="auto"/>
        <w:rPr>
          <w:rFonts w:ascii="Times New Roman" w:hAnsi="Times New Roman" w:cs="Times New Roman"/>
          <w:sz w:val="24"/>
          <w:szCs w:val="24"/>
        </w:rPr>
      </w:pPr>
    </w:p>
    <w:p w:rsidR="00DC4247" w:rsidRDefault="00DC4247" w:rsidP="00A23C22">
      <w:pPr>
        <w:spacing w:after="0" w:line="480" w:lineRule="auto"/>
        <w:rPr>
          <w:rFonts w:ascii="Times New Roman" w:hAnsi="Times New Roman" w:cs="Times New Roman"/>
          <w:sz w:val="24"/>
          <w:szCs w:val="24"/>
        </w:rPr>
      </w:pPr>
    </w:p>
    <w:p w:rsidR="00DC4247" w:rsidRPr="00A23C22" w:rsidRDefault="00DC4247" w:rsidP="00A23C22">
      <w:pPr>
        <w:spacing w:after="0" w:line="480" w:lineRule="auto"/>
        <w:rPr>
          <w:rFonts w:ascii="Times New Roman" w:hAnsi="Times New Roman" w:cs="Times New Roman"/>
          <w:sz w:val="24"/>
          <w:szCs w:val="24"/>
        </w:rPr>
      </w:pPr>
    </w:p>
    <w:p w:rsidR="00A23C22" w:rsidRPr="00A23C22" w:rsidRDefault="00A23C22" w:rsidP="00A23C22">
      <w:pPr>
        <w:spacing w:after="0" w:line="480" w:lineRule="auto"/>
        <w:rPr>
          <w:rFonts w:ascii="Times New Roman" w:hAnsi="Times New Roman" w:cs="Times New Roman"/>
          <w:sz w:val="24"/>
          <w:szCs w:val="24"/>
        </w:rPr>
      </w:pPr>
    </w:p>
    <w:p w:rsidR="00A23C22" w:rsidRPr="00A23C22" w:rsidRDefault="00A23C22" w:rsidP="00A23C22">
      <w:pPr>
        <w:spacing w:after="0" w:line="480" w:lineRule="auto"/>
        <w:rPr>
          <w:rFonts w:ascii="Times New Roman" w:hAnsi="Times New Roman" w:cs="Times New Roman"/>
          <w:sz w:val="24"/>
          <w:szCs w:val="24"/>
        </w:rPr>
      </w:pPr>
    </w:p>
    <w:p w:rsidR="00A23C22" w:rsidRPr="00A23C22" w:rsidRDefault="00A23C22" w:rsidP="00A23C22">
      <w:pPr>
        <w:spacing w:after="0" w:line="480" w:lineRule="auto"/>
        <w:rPr>
          <w:rFonts w:ascii="Times New Roman" w:hAnsi="Times New Roman" w:cs="Times New Roman"/>
          <w:sz w:val="24"/>
          <w:szCs w:val="24"/>
        </w:rPr>
      </w:pPr>
    </w:p>
    <w:p w:rsidR="00A23C22" w:rsidRPr="00A23C22" w:rsidRDefault="00A23C22" w:rsidP="00A23C22">
      <w:pPr>
        <w:spacing w:after="0" w:line="480" w:lineRule="auto"/>
        <w:jc w:val="center"/>
        <w:rPr>
          <w:rFonts w:ascii="Times New Roman" w:hAnsi="Times New Roman" w:cs="Times New Roman"/>
          <w:sz w:val="24"/>
          <w:szCs w:val="24"/>
        </w:rPr>
      </w:pPr>
      <w:r w:rsidRPr="00A23C22">
        <w:rPr>
          <w:rFonts w:ascii="Times New Roman" w:hAnsi="Times New Roman" w:cs="Times New Roman"/>
          <w:sz w:val="24"/>
          <w:szCs w:val="24"/>
        </w:rPr>
        <w:t xml:space="preserve">Early Adoption of Iron </w:t>
      </w:r>
      <w:r w:rsidR="00DC4247" w:rsidRPr="00A23C22">
        <w:rPr>
          <w:rFonts w:ascii="Times New Roman" w:hAnsi="Times New Roman" w:cs="Times New Roman"/>
          <w:sz w:val="24"/>
          <w:szCs w:val="24"/>
        </w:rPr>
        <w:t>in</w:t>
      </w:r>
      <w:r w:rsidRPr="00A23C22">
        <w:rPr>
          <w:rFonts w:ascii="Times New Roman" w:hAnsi="Times New Roman" w:cs="Times New Roman"/>
          <w:sz w:val="24"/>
          <w:szCs w:val="24"/>
        </w:rPr>
        <w:t xml:space="preserve"> Architecture</w:t>
      </w:r>
    </w:p>
    <w:p w:rsidR="00A23C22" w:rsidRPr="00A23C22" w:rsidRDefault="00A23C22" w:rsidP="00A23C22">
      <w:pPr>
        <w:spacing w:after="0" w:line="480" w:lineRule="auto"/>
        <w:jc w:val="center"/>
        <w:rPr>
          <w:rFonts w:ascii="Times New Roman" w:hAnsi="Times New Roman" w:cs="Times New Roman"/>
          <w:sz w:val="24"/>
          <w:szCs w:val="24"/>
        </w:rPr>
      </w:pPr>
      <w:r w:rsidRPr="00A23C22">
        <w:rPr>
          <w:rFonts w:ascii="Times New Roman" w:hAnsi="Times New Roman" w:cs="Times New Roman"/>
          <w:sz w:val="24"/>
          <w:szCs w:val="24"/>
        </w:rPr>
        <w:t>Name of Student</w:t>
      </w:r>
    </w:p>
    <w:p w:rsidR="00A23C22" w:rsidRPr="00A23C22" w:rsidRDefault="00A23C22" w:rsidP="00A23C22">
      <w:pPr>
        <w:spacing w:after="0" w:line="480" w:lineRule="auto"/>
        <w:jc w:val="center"/>
        <w:rPr>
          <w:rFonts w:ascii="Times New Roman" w:hAnsi="Times New Roman" w:cs="Times New Roman"/>
          <w:sz w:val="24"/>
          <w:szCs w:val="24"/>
        </w:rPr>
      </w:pPr>
      <w:r w:rsidRPr="00A23C22">
        <w:rPr>
          <w:rFonts w:ascii="Times New Roman" w:hAnsi="Times New Roman" w:cs="Times New Roman"/>
          <w:sz w:val="24"/>
          <w:szCs w:val="24"/>
        </w:rPr>
        <w:t>Name of Institution</w:t>
      </w:r>
    </w:p>
    <w:p w:rsidR="00A23C22" w:rsidRPr="00A23C22" w:rsidRDefault="00A23C22" w:rsidP="00A23C22">
      <w:pPr>
        <w:spacing w:after="0" w:line="480" w:lineRule="auto"/>
        <w:jc w:val="center"/>
        <w:rPr>
          <w:rFonts w:ascii="Times New Roman" w:hAnsi="Times New Roman" w:cs="Times New Roman"/>
          <w:sz w:val="24"/>
          <w:szCs w:val="24"/>
        </w:rPr>
      </w:pPr>
      <w:r w:rsidRPr="00A23C22">
        <w:rPr>
          <w:rFonts w:ascii="Times New Roman" w:hAnsi="Times New Roman" w:cs="Times New Roman"/>
          <w:sz w:val="24"/>
          <w:szCs w:val="24"/>
        </w:rPr>
        <w:t>Date</w:t>
      </w:r>
    </w:p>
    <w:p w:rsidR="00A23C22" w:rsidRPr="00A23C22" w:rsidRDefault="00A23C22" w:rsidP="00A23C22">
      <w:pPr>
        <w:spacing w:after="0" w:line="480" w:lineRule="auto"/>
        <w:rPr>
          <w:rFonts w:ascii="Times New Roman" w:hAnsi="Times New Roman" w:cs="Times New Roman"/>
          <w:sz w:val="24"/>
          <w:szCs w:val="24"/>
        </w:rPr>
      </w:pPr>
      <w:r w:rsidRPr="00A23C22">
        <w:rPr>
          <w:rFonts w:ascii="Times New Roman" w:hAnsi="Times New Roman" w:cs="Times New Roman"/>
          <w:sz w:val="24"/>
          <w:szCs w:val="24"/>
        </w:rPr>
        <w:t xml:space="preserve"> </w:t>
      </w:r>
      <w:r w:rsidRPr="00A23C22">
        <w:rPr>
          <w:rFonts w:ascii="Times New Roman" w:hAnsi="Times New Roman" w:cs="Times New Roman"/>
          <w:sz w:val="24"/>
          <w:szCs w:val="24"/>
        </w:rPr>
        <w:br w:type="page"/>
      </w:r>
    </w:p>
    <w:p w:rsidR="00BB7C26" w:rsidRPr="00A23C22" w:rsidRDefault="00500125" w:rsidP="00DC4247">
      <w:pPr>
        <w:spacing w:after="0" w:line="480" w:lineRule="auto"/>
        <w:ind w:firstLine="720"/>
        <w:jc w:val="both"/>
        <w:rPr>
          <w:rFonts w:ascii="Times New Roman" w:hAnsi="Times New Roman" w:cs="Times New Roman"/>
          <w:sz w:val="24"/>
          <w:szCs w:val="24"/>
        </w:rPr>
      </w:pPr>
      <w:r w:rsidRPr="00500125">
        <w:rPr>
          <w:rFonts w:ascii="Times New Roman" w:hAnsi="Times New Roman" w:cs="Times New Roman"/>
          <w:sz w:val="24"/>
          <w:szCs w:val="24"/>
        </w:rPr>
        <w:lastRenderedPageBreak/>
        <w:t>Architectural use of iron in architecture is an innovative approach that allows for taller and far stronger structures than other materials such as wood, stones, or bricks would be capable of (Peters, 2012).  As early as the 18th century, the adoption of wrought iron in construction was primarily for small items and decorative ironwork such as gates, railing fences, balconies, nails, straps, and rods.  Cast iron was the first metal substituted for the then traditional structural construction materials and was used in the construction of bridges as of 1779.</w:t>
      </w:r>
      <w:r>
        <w:rPr>
          <w:rFonts w:ascii="Times New Roman" w:hAnsi="Times New Roman" w:cs="Times New Roman"/>
          <w:sz w:val="24"/>
          <w:szCs w:val="24"/>
        </w:rPr>
        <w:t xml:space="preserve"> </w:t>
      </w:r>
      <w:r w:rsidRPr="00500125">
        <w:rPr>
          <w:rFonts w:ascii="Times New Roman" w:hAnsi="Times New Roman" w:cs="Times New Roman"/>
          <w:sz w:val="24"/>
          <w:szCs w:val="24"/>
        </w:rPr>
        <w:t xml:space="preserve">Its adaptation into architecture was promoted by its capacity to be molded into various forms and shapes, and also a high resistance to corrosion and fire (Ching, Jarzombek &amp; Prakash, 2017). Other adoptions of cast iron for bridges were in the chain-suspension, sculptural embellishments, and decorative railings. However, Robert Adam had first pioneered the use of cast iron in decorative ironwork in 1775, producing imitative works of the earlier wrought iron balcony railings. As of 1811, cast iron was also adopted in the construction of domes, which incorporated glass such as the Bourse de Commerce in Paris. By the 1820s, designs by Edward Holl for the Commissioner’s House led to the awareness of the ease of transporting iron structural products (L’Héritier, 2012). By 1850 adoption of wrought iron became widespread whereby rolls mills began the production of bulb-tees, rails, and eventually I-beams. The 19th century also notes various adoption of iron in street furniture such as tree gates, bollards, street lamps, and the United Kingdom red post box. </w:t>
      </w:r>
      <w:r w:rsidR="00BB7C26" w:rsidRPr="00A23C22">
        <w:rPr>
          <w:rFonts w:ascii="Times New Roman" w:hAnsi="Times New Roman" w:cs="Times New Roman"/>
          <w:sz w:val="24"/>
          <w:szCs w:val="24"/>
        </w:rPr>
        <w:br w:type="page"/>
      </w:r>
    </w:p>
    <w:p w:rsidR="002B11F5" w:rsidRPr="00A23C22" w:rsidRDefault="002B11F5" w:rsidP="00A23C22">
      <w:pPr>
        <w:spacing w:after="0" w:line="480" w:lineRule="auto"/>
        <w:jc w:val="center"/>
        <w:rPr>
          <w:rFonts w:ascii="Times New Roman" w:hAnsi="Times New Roman" w:cs="Times New Roman"/>
          <w:sz w:val="24"/>
          <w:szCs w:val="24"/>
        </w:rPr>
      </w:pPr>
      <w:r w:rsidRPr="00A23C22">
        <w:rPr>
          <w:rFonts w:ascii="Times New Roman" w:hAnsi="Times New Roman" w:cs="Times New Roman"/>
          <w:sz w:val="24"/>
          <w:szCs w:val="24"/>
        </w:rPr>
        <w:lastRenderedPageBreak/>
        <w:t>References</w:t>
      </w:r>
    </w:p>
    <w:p w:rsidR="002B11F5" w:rsidRPr="00A23C22" w:rsidRDefault="002B11F5" w:rsidP="00A23C22">
      <w:pPr>
        <w:spacing w:after="0" w:line="480" w:lineRule="auto"/>
        <w:ind w:left="720" w:hanging="720"/>
        <w:rPr>
          <w:rFonts w:ascii="Times New Roman" w:hAnsi="Times New Roman" w:cs="Times New Roman"/>
          <w:color w:val="222222"/>
          <w:sz w:val="24"/>
          <w:szCs w:val="24"/>
          <w:shd w:val="clear" w:color="auto" w:fill="FFFFFF"/>
        </w:rPr>
      </w:pPr>
      <w:r w:rsidRPr="00A23C22">
        <w:rPr>
          <w:rFonts w:ascii="Times New Roman" w:hAnsi="Times New Roman" w:cs="Times New Roman"/>
          <w:color w:val="222222"/>
          <w:sz w:val="24"/>
          <w:szCs w:val="24"/>
          <w:shd w:val="clear" w:color="auto" w:fill="FFFFFF"/>
        </w:rPr>
        <w:t>Ching, F. D., Jarzombek, M. M., &amp; Prakash, V. (2017). </w:t>
      </w:r>
      <w:r w:rsidRPr="00A23C22">
        <w:rPr>
          <w:rFonts w:ascii="Times New Roman" w:hAnsi="Times New Roman" w:cs="Times New Roman"/>
          <w:i/>
          <w:iCs/>
          <w:color w:val="222222"/>
          <w:sz w:val="24"/>
          <w:szCs w:val="24"/>
          <w:shd w:val="clear" w:color="auto" w:fill="FFFFFF"/>
        </w:rPr>
        <w:t>A global history of architecture</w:t>
      </w:r>
      <w:r w:rsidRPr="00A23C22">
        <w:rPr>
          <w:rFonts w:ascii="Times New Roman" w:hAnsi="Times New Roman" w:cs="Times New Roman"/>
          <w:color w:val="222222"/>
          <w:sz w:val="24"/>
          <w:szCs w:val="24"/>
          <w:shd w:val="clear" w:color="auto" w:fill="FFFFFF"/>
        </w:rPr>
        <w:t xml:space="preserve">. John Wiley &amp; Sons. </w:t>
      </w:r>
    </w:p>
    <w:p w:rsidR="002B11F5" w:rsidRPr="00A23C22" w:rsidRDefault="002B11F5" w:rsidP="00A23C22">
      <w:pPr>
        <w:spacing w:after="0" w:line="480" w:lineRule="auto"/>
        <w:ind w:left="720" w:hanging="720"/>
        <w:rPr>
          <w:rFonts w:ascii="Times New Roman" w:hAnsi="Times New Roman" w:cs="Times New Roman"/>
          <w:color w:val="222222"/>
          <w:sz w:val="24"/>
          <w:szCs w:val="24"/>
          <w:shd w:val="clear" w:color="auto" w:fill="FFFFFF"/>
        </w:rPr>
      </w:pPr>
      <w:r w:rsidRPr="00A23C22">
        <w:rPr>
          <w:rFonts w:ascii="Times New Roman" w:hAnsi="Times New Roman" w:cs="Times New Roman"/>
          <w:color w:val="222222"/>
          <w:sz w:val="24"/>
          <w:szCs w:val="24"/>
          <w:shd w:val="clear" w:color="auto" w:fill="FFFFFF"/>
        </w:rPr>
        <w:t>Peters, S. (2012). </w:t>
      </w:r>
      <w:r w:rsidRPr="00A23C22">
        <w:rPr>
          <w:rFonts w:ascii="Times New Roman" w:hAnsi="Times New Roman" w:cs="Times New Roman"/>
          <w:i/>
          <w:iCs/>
          <w:color w:val="222222"/>
          <w:sz w:val="24"/>
          <w:szCs w:val="24"/>
          <w:shd w:val="clear" w:color="auto" w:fill="FFFFFF"/>
        </w:rPr>
        <w:t>Material revolution: sustainable and multi-purpose materials for design and architecture</w:t>
      </w:r>
      <w:r w:rsidRPr="00A23C22">
        <w:rPr>
          <w:rFonts w:ascii="Times New Roman" w:hAnsi="Times New Roman" w:cs="Times New Roman"/>
          <w:color w:val="222222"/>
          <w:sz w:val="24"/>
          <w:szCs w:val="24"/>
          <w:shd w:val="clear" w:color="auto" w:fill="FFFFFF"/>
        </w:rPr>
        <w:t>. Walter de Gruyter.</w:t>
      </w:r>
    </w:p>
    <w:p w:rsidR="002B11F5" w:rsidRPr="00A23C22" w:rsidRDefault="002B11F5" w:rsidP="00A23C22">
      <w:pPr>
        <w:spacing w:after="0" w:line="480" w:lineRule="auto"/>
        <w:ind w:left="720" w:hanging="720"/>
        <w:rPr>
          <w:rFonts w:ascii="Times New Roman" w:hAnsi="Times New Roman" w:cs="Times New Roman"/>
          <w:sz w:val="24"/>
          <w:szCs w:val="24"/>
        </w:rPr>
      </w:pPr>
      <w:r w:rsidRPr="00A23C22">
        <w:rPr>
          <w:rFonts w:ascii="Times New Roman" w:hAnsi="Times New Roman" w:cs="Times New Roman"/>
          <w:color w:val="222222"/>
          <w:sz w:val="24"/>
          <w:szCs w:val="24"/>
          <w:shd w:val="clear" w:color="auto" w:fill="FFFFFF"/>
        </w:rPr>
        <w:t>L’Héritier, M., Dillmann, P., Timbert, A., &amp; Bernardi, P. (2012). The role of iron armatures in gothic constructions: reinforcement, consolidation or commissioner’s choice. </w:t>
      </w:r>
      <w:r w:rsidRPr="00A23C22">
        <w:rPr>
          <w:rFonts w:ascii="Times New Roman" w:hAnsi="Times New Roman" w:cs="Times New Roman"/>
          <w:i/>
          <w:iCs/>
          <w:color w:val="222222"/>
          <w:sz w:val="24"/>
          <w:szCs w:val="24"/>
          <w:shd w:val="clear" w:color="auto" w:fill="FFFFFF"/>
        </w:rPr>
        <w:t>Carvais, R., Guillerme, A., Nègre, V. et Sakarovitch, J., éditeurs: Nuts and bolt of construction history. Culture, technology and society</w:t>
      </w:r>
      <w:r w:rsidRPr="00A23C22">
        <w:rPr>
          <w:rFonts w:ascii="Times New Roman" w:hAnsi="Times New Roman" w:cs="Times New Roman"/>
          <w:color w:val="222222"/>
          <w:sz w:val="24"/>
          <w:szCs w:val="24"/>
          <w:shd w:val="clear" w:color="auto" w:fill="FFFFFF"/>
        </w:rPr>
        <w:t>, </w:t>
      </w:r>
      <w:r w:rsidRPr="00A23C22">
        <w:rPr>
          <w:rFonts w:ascii="Times New Roman" w:hAnsi="Times New Roman" w:cs="Times New Roman"/>
          <w:i/>
          <w:iCs/>
          <w:color w:val="222222"/>
          <w:sz w:val="24"/>
          <w:szCs w:val="24"/>
          <w:shd w:val="clear" w:color="auto" w:fill="FFFFFF"/>
        </w:rPr>
        <w:t>2</w:t>
      </w:r>
      <w:r w:rsidRPr="00A23C22">
        <w:rPr>
          <w:rFonts w:ascii="Times New Roman" w:hAnsi="Times New Roman" w:cs="Times New Roman"/>
          <w:color w:val="222222"/>
          <w:sz w:val="24"/>
          <w:szCs w:val="24"/>
          <w:shd w:val="clear" w:color="auto" w:fill="FFFFFF"/>
        </w:rPr>
        <w:t>.</w:t>
      </w:r>
    </w:p>
    <w:sectPr w:rsidR="002B11F5" w:rsidRPr="00A23C22" w:rsidSect="00A23C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41B" w:rsidRDefault="0068641B" w:rsidP="00A23C22">
      <w:pPr>
        <w:spacing w:after="0" w:line="240" w:lineRule="auto"/>
      </w:pPr>
      <w:r>
        <w:separator/>
      </w:r>
    </w:p>
  </w:endnote>
  <w:endnote w:type="continuationSeparator" w:id="0">
    <w:p w:rsidR="0068641B" w:rsidRDefault="0068641B" w:rsidP="00A23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41B" w:rsidRDefault="0068641B" w:rsidP="00A23C22">
      <w:pPr>
        <w:spacing w:after="0" w:line="240" w:lineRule="auto"/>
      </w:pPr>
      <w:r>
        <w:separator/>
      </w:r>
    </w:p>
  </w:footnote>
  <w:footnote w:type="continuationSeparator" w:id="0">
    <w:p w:rsidR="0068641B" w:rsidRDefault="0068641B" w:rsidP="00A23C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C22" w:rsidRPr="00A23C22" w:rsidRDefault="00A23C22">
    <w:pPr>
      <w:pStyle w:val="Header"/>
      <w:jc w:val="right"/>
      <w:rPr>
        <w:rFonts w:ascii="Times New Roman" w:hAnsi="Times New Roman" w:cs="Times New Roman"/>
        <w:sz w:val="24"/>
      </w:rPr>
    </w:pPr>
    <w:r w:rsidRPr="00A23C22">
      <w:rPr>
        <w:rFonts w:ascii="Times New Roman" w:hAnsi="Times New Roman" w:cs="Times New Roman"/>
        <w:sz w:val="24"/>
      </w:rPr>
      <w:t>EARLY ADOPTION OF IRON IN ARCHITECTURE</w:t>
    </w:r>
    <w:r w:rsidRPr="00A23C22">
      <w:rPr>
        <w:rFonts w:ascii="Times New Roman" w:hAnsi="Times New Roman" w:cs="Times New Roman"/>
        <w:sz w:val="24"/>
      </w:rPr>
      <w:tab/>
    </w:r>
    <w:sdt>
      <w:sdtPr>
        <w:rPr>
          <w:rFonts w:ascii="Times New Roman" w:hAnsi="Times New Roman" w:cs="Times New Roman"/>
          <w:sz w:val="24"/>
        </w:rPr>
        <w:id w:val="213944047"/>
        <w:docPartObj>
          <w:docPartGallery w:val="Page Numbers (Top of Page)"/>
          <w:docPartUnique/>
        </w:docPartObj>
      </w:sdtPr>
      <w:sdtEndPr/>
      <w:sdtContent>
        <w:r w:rsidR="00481F2D" w:rsidRPr="00A23C22">
          <w:rPr>
            <w:rFonts w:ascii="Times New Roman" w:hAnsi="Times New Roman" w:cs="Times New Roman"/>
            <w:sz w:val="24"/>
          </w:rPr>
          <w:fldChar w:fldCharType="begin"/>
        </w:r>
        <w:r w:rsidRPr="00A23C22">
          <w:rPr>
            <w:rFonts w:ascii="Times New Roman" w:hAnsi="Times New Roman" w:cs="Times New Roman"/>
            <w:sz w:val="24"/>
          </w:rPr>
          <w:instrText xml:space="preserve"> PAGE   \* MERGEFORMAT </w:instrText>
        </w:r>
        <w:r w:rsidR="00481F2D" w:rsidRPr="00A23C22">
          <w:rPr>
            <w:rFonts w:ascii="Times New Roman" w:hAnsi="Times New Roman" w:cs="Times New Roman"/>
            <w:sz w:val="24"/>
          </w:rPr>
          <w:fldChar w:fldCharType="separate"/>
        </w:r>
        <w:r w:rsidR="009A7D13">
          <w:rPr>
            <w:rFonts w:ascii="Times New Roman" w:hAnsi="Times New Roman" w:cs="Times New Roman"/>
            <w:noProof/>
            <w:sz w:val="24"/>
          </w:rPr>
          <w:t>2</w:t>
        </w:r>
        <w:r w:rsidR="00481F2D" w:rsidRPr="00A23C22">
          <w:rPr>
            <w:rFonts w:ascii="Times New Roman" w:hAnsi="Times New Roman" w:cs="Times New Roman"/>
            <w:sz w:val="24"/>
          </w:rPr>
          <w:fldChar w:fldCharType="end"/>
        </w:r>
      </w:sdtContent>
    </w:sdt>
  </w:p>
  <w:p w:rsidR="00A23C22" w:rsidRPr="00A23C22" w:rsidRDefault="00A23C22">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C22" w:rsidRPr="00A23C22" w:rsidRDefault="00DF0C91">
    <w:pPr>
      <w:pStyle w:val="Header"/>
      <w:jc w:val="right"/>
      <w:rPr>
        <w:rFonts w:ascii="Times New Roman" w:hAnsi="Times New Roman" w:cs="Times New Roman"/>
        <w:sz w:val="24"/>
      </w:rPr>
    </w:pPr>
    <w:r>
      <w:rPr>
        <w:rFonts w:ascii="Times New Roman" w:hAnsi="Times New Roman" w:cs="Times New Roman"/>
        <w:sz w:val="24"/>
      </w:rPr>
      <w:t>Running h</w:t>
    </w:r>
    <w:r w:rsidR="00A23C22" w:rsidRPr="00A23C22">
      <w:rPr>
        <w:rFonts w:ascii="Times New Roman" w:hAnsi="Times New Roman" w:cs="Times New Roman"/>
        <w:sz w:val="24"/>
      </w:rPr>
      <w:t xml:space="preserve">ead: EARLY ADOPTION OF IRON IN ARCHITECTURE </w:t>
    </w:r>
    <w:r w:rsidR="00A23C22" w:rsidRPr="00A23C22">
      <w:rPr>
        <w:rFonts w:ascii="Times New Roman" w:hAnsi="Times New Roman" w:cs="Times New Roman"/>
        <w:sz w:val="24"/>
      </w:rPr>
      <w:tab/>
    </w:r>
    <w:sdt>
      <w:sdtPr>
        <w:rPr>
          <w:rFonts w:ascii="Times New Roman" w:hAnsi="Times New Roman" w:cs="Times New Roman"/>
          <w:sz w:val="24"/>
        </w:rPr>
        <w:id w:val="213944086"/>
        <w:docPartObj>
          <w:docPartGallery w:val="Page Numbers (Top of Page)"/>
          <w:docPartUnique/>
        </w:docPartObj>
      </w:sdtPr>
      <w:sdtEndPr/>
      <w:sdtContent>
        <w:r w:rsidR="00481F2D" w:rsidRPr="00A23C22">
          <w:rPr>
            <w:rFonts w:ascii="Times New Roman" w:hAnsi="Times New Roman" w:cs="Times New Roman"/>
            <w:sz w:val="24"/>
          </w:rPr>
          <w:fldChar w:fldCharType="begin"/>
        </w:r>
        <w:r w:rsidR="00A23C22" w:rsidRPr="00A23C22">
          <w:rPr>
            <w:rFonts w:ascii="Times New Roman" w:hAnsi="Times New Roman" w:cs="Times New Roman"/>
            <w:sz w:val="24"/>
          </w:rPr>
          <w:instrText xml:space="preserve"> PAGE   \* MERGEFORMAT </w:instrText>
        </w:r>
        <w:r w:rsidR="00481F2D" w:rsidRPr="00A23C22">
          <w:rPr>
            <w:rFonts w:ascii="Times New Roman" w:hAnsi="Times New Roman" w:cs="Times New Roman"/>
            <w:sz w:val="24"/>
          </w:rPr>
          <w:fldChar w:fldCharType="separate"/>
        </w:r>
        <w:r w:rsidR="009A7D13">
          <w:rPr>
            <w:rFonts w:ascii="Times New Roman" w:hAnsi="Times New Roman" w:cs="Times New Roman"/>
            <w:noProof/>
            <w:sz w:val="24"/>
          </w:rPr>
          <w:t>1</w:t>
        </w:r>
        <w:r w:rsidR="00481F2D" w:rsidRPr="00A23C22">
          <w:rPr>
            <w:rFonts w:ascii="Times New Roman" w:hAnsi="Times New Roman" w:cs="Times New Roman"/>
            <w:sz w:val="24"/>
          </w:rPr>
          <w:fldChar w:fldCharType="end"/>
        </w:r>
      </w:sdtContent>
    </w:sdt>
  </w:p>
  <w:p w:rsidR="00A23C22" w:rsidRPr="00A23C22" w:rsidRDefault="00A23C22">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35B59"/>
    <w:multiLevelType w:val="hybridMultilevel"/>
    <w:tmpl w:val="6188F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6831F9"/>
    <w:multiLevelType w:val="hybridMultilevel"/>
    <w:tmpl w:val="B5D8C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EF9"/>
    <w:rsid w:val="00264EF9"/>
    <w:rsid w:val="00270CF8"/>
    <w:rsid w:val="002B11F5"/>
    <w:rsid w:val="00481F2D"/>
    <w:rsid w:val="00500125"/>
    <w:rsid w:val="0068641B"/>
    <w:rsid w:val="007930B1"/>
    <w:rsid w:val="00934196"/>
    <w:rsid w:val="009A7D13"/>
    <w:rsid w:val="00A23C22"/>
    <w:rsid w:val="00B12590"/>
    <w:rsid w:val="00BB7C26"/>
    <w:rsid w:val="00D97A37"/>
    <w:rsid w:val="00DC4247"/>
    <w:rsid w:val="00DE6060"/>
    <w:rsid w:val="00DF0C91"/>
    <w:rsid w:val="00F01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1F037"/>
  <w15:docId w15:val="{9449A6B4-A7B0-4D97-99E8-CCA53193E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F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EF9"/>
    <w:pPr>
      <w:ind w:left="720"/>
      <w:contextualSpacing/>
    </w:pPr>
  </w:style>
  <w:style w:type="paragraph" w:styleId="Header">
    <w:name w:val="header"/>
    <w:basedOn w:val="Normal"/>
    <w:link w:val="HeaderChar"/>
    <w:uiPriority w:val="99"/>
    <w:unhideWhenUsed/>
    <w:rsid w:val="00A23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C22"/>
  </w:style>
  <w:style w:type="paragraph" w:styleId="Footer">
    <w:name w:val="footer"/>
    <w:basedOn w:val="Normal"/>
    <w:link w:val="FooterChar"/>
    <w:uiPriority w:val="99"/>
    <w:unhideWhenUsed/>
    <w:rsid w:val="00A23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2020-04-08T14:58:00Z</dcterms:created>
  <dcterms:modified xsi:type="dcterms:W3CDTF">2020-04-08T14:58:00Z</dcterms:modified>
</cp:coreProperties>
</file>